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413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>
        <w:trPr>
          <w:trHeight w:val="1134"/>
        </w:trPr>
        <w:tc>
          <w:tcPr>
            <w:tcW w:w="705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Verzeichnis der Untersuchungsverfahren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für die Notifizierung nach § 16 LKrWG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cs="Arial"/>
                <w:b/>
              </w:rPr>
              <w:t>Nr. der Standorte</w:t>
            </w:r>
          </w:p>
        </w:tc>
      </w:tr>
      <w:tr>
        <w:tc>
          <w:tcPr>
            <w:tcW w:w="7054" w:type="dxa"/>
          </w:tcPr>
          <w:p>
            <w:r>
              <w:t xml:space="preserve">Standort 1: </w:t>
            </w:r>
            <w:bookmarkStart w:id="0" w:name="Text1"/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2268" w:type="dxa"/>
            <w:vMerge/>
          </w:tcPr>
          <w:p>
            <w:pPr>
              <w:rPr>
                <w:b/>
              </w:rPr>
            </w:pPr>
          </w:p>
        </w:tc>
      </w:tr>
      <w:tr>
        <w:tc>
          <w:tcPr>
            <w:tcW w:w="7054" w:type="dxa"/>
          </w:tcPr>
          <w:p>
            <w:r>
              <w:t xml:space="preserve">Standort 2: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vMerge/>
          </w:tcPr>
          <w:p/>
        </w:tc>
      </w:tr>
      <w:tr>
        <w:tc>
          <w:tcPr>
            <w:tcW w:w="7054" w:type="dxa"/>
          </w:tcPr>
          <w:p>
            <w:r>
              <w:t xml:space="preserve">Standort 3: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vMerge/>
          </w:tcPr>
          <w:p/>
        </w:tc>
      </w:tr>
      <w:tr>
        <w:tc>
          <w:tcPr>
            <w:tcW w:w="7054" w:type="dxa"/>
          </w:tcPr>
          <w:p>
            <w:r>
              <w:t xml:space="preserve">Standort 4: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vMerge/>
          </w:tcPr>
          <w:p/>
        </w:tc>
      </w:tr>
      <w:tr>
        <w:tc>
          <w:tcPr>
            <w:tcW w:w="7054" w:type="dxa"/>
          </w:tcPr>
          <w:p>
            <w:r>
              <w:t xml:space="preserve">Standort 5: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vMerge/>
          </w:tcPr>
          <w:p/>
        </w:tc>
      </w:tr>
    </w:tbl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 – Untersuchungsparameter und –verfahren für Abfall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Die Notifizierung ist nur für komplette Teilbereiche möglich (außer A-6). Die im Teilbereich </w:t>
      </w:r>
    </w:p>
    <w:p>
      <w:p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A-6 aufgeführten Untersuchungsparameter können zusätzlich zu einem Teilbereich A-1 bis</w:t>
      </w:r>
    </w:p>
    <w:p>
      <w:p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A-5 notifiziert werden.</w:t>
      </w:r>
    </w:p>
    <w:p>
      <w:p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Für andere als die hier aufgeführten Verfahren ist durch die Untersuchungsstelle die Gleich-wertigkeit nachzuweisen. Hierbei ist die „LAGA-Methodensammlung Abfalluntersuchung“ in der jeweils aktuellen Fassung zu berücksichtigen. </w:t>
      </w:r>
    </w:p>
    <w:p>
      <w:p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Sofern die aufgeführten Verfahren nicht mit „und“ verbunden sind, ist mindestens eines der angegebenen Verfahren nachzuweisen.</w:t>
      </w:r>
    </w:p>
    <w:p>
      <w:pPr>
        <w:spacing w:before="0" w:after="0"/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1"/>
        <w:gridCol w:w="3267"/>
        <w:gridCol w:w="472"/>
        <w:gridCol w:w="472"/>
        <w:gridCol w:w="472"/>
        <w:gridCol w:w="472"/>
        <w:gridCol w:w="472"/>
      </w:tblGrid>
      <w:tr>
        <w:trPr>
          <w:trHeight w:val="417"/>
        </w:trPr>
        <w:tc>
          <w:tcPr>
            <w:tcW w:w="6912" w:type="dxa"/>
            <w:gridSpan w:val="2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Teilbereich A-1: Probenahme für Abfall</w:t>
            </w:r>
          </w:p>
        </w:tc>
        <w:tc>
          <w:tcPr>
            <w:tcW w:w="471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1</w:t>
            </w:r>
          </w:p>
        </w:tc>
        <w:tc>
          <w:tcPr>
            <w:tcW w:w="471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2</w:t>
            </w:r>
          </w:p>
        </w:tc>
        <w:tc>
          <w:tcPr>
            <w:tcW w:w="471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3</w:t>
            </w:r>
          </w:p>
        </w:tc>
        <w:tc>
          <w:tcPr>
            <w:tcW w:w="471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4</w:t>
            </w:r>
          </w:p>
        </w:tc>
        <w:tc>
          <w:tcPr>
            <w:tcW w:w="471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5</w:t>
            </w:r>
          </w:p>
        </w:tc>
      </w:tr>
      <w:t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Probenahme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LAGA PN 98 (05/2019)</w:t>
            </w:r>
          </w:p>
        </w:tc>
        <w:tc>
          <w:tcPr>
            <w:tcW w:w="471" w:type="dxa"/>
            <w:vAlign w:val="center"/>
          </w:tcPr>
          <w:p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71" w:type="dxa"/>
            <w:vAlign w:val="center"/>
          </w:tcPr>
          <w:p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71" w:type="dxa"/>
            <w:vAlign w:val="center"/>
          </w:tcPr>
          <w:p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71" w:type="dxa"/>
            <w:vAlign w:val="center"/>
          </w:tcPr>
          <w:p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71" w:type="dxa"/>
            <w:vAlign w:val="center"/>
          </w:tcPr>
          <w:p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sz w:val="16"/>
          <w:szCs w:val="16"/>
        </w:rPr>
      </w:pPr>
    </w:p>
    <w:p>
      <w:pPr>
        <w:spacing w:before="0" w:after="0"/>
        <w:jc w:val="left"/>
        <w:rPr>
          <w:rFonts w:cs="Arial"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5"/>
        <w:gridCol w:w="3318"/>
        <w:gridCol w:w="469"/>
        <w:gridCol w:w="469"/>
        <w:gridCol w:w="469"/>
        <w:gridCol w:w="469"/>
        <w:gridCol w:w="469"/>
      </w:tblGrid>
      <w:tr>
        <w:trPr>
          <w:trHeight w:val="419"/>
        </w:trPr>
        <w:tc>
          <w:tcPr>
            <w:tcW w:w="6943" w:type="dxa"/>
            <w:gridSpan w:val="2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Teilbereich A-2: Bestimmung des Gesamtgehaltes in Feststoff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1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2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3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4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5</w:t>
            </w:r>
          </w:p>
        </w:tc>
      </w:tr>
      <w:tr>
        <w:trPr>
          <w:trHeight w:val="372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Probenvorbereitung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DIN 19747 (07/2009)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278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Königswasseraufschluss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13657 (01/2003)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23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Dichte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DIN 18 125-2 (03/2011) 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02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Brenn- und Heizwert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15170 (05/2009)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22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Glühverlust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tabs>
                <w:tab w:val="clear" w:pos="425"/>
                <w:tab w:val="left" w:pos="-1218"/>
              </w:tabs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15169 (05/2007)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tabs>
                <w:tab w:val="clear" w:pos="425"/>
                <w:tab w:val="left" w:pos="-1218"/>
              </w:tabs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tabs>
                <w:tab w:val="clear" w:pos="425"/>
                <w:tab w:val="left" w:pos="-1218"/>
              </w:tabs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tabs>
                <w:tab w:val="clear" w:pos="425"/>
                <w:tab w:val="left" w:pos="-1218"/>
              </w:tabs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tabs>
                <w:tab w:val="clear" w:pos="425"/>
                <w:tab w:val="left" w:pos="-1218"/>
              </w:tabs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tabs>
                <w:tab w:val="clear" w:pos="425"/>
                <w:tab w:val="left" w:pos="-1218"/>
              </w:tabs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Blei, Cadmium, Chrom, Kupfer, Nickel und Zink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11885 (09/2009)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ISO 22036 (06/2009)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17294-2 (01/2017)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Quecksilber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12 846 (08/2012)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17852 (04/2008)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374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Extrahierbare lipophile Stoffe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LAGA KW/04 (09/2019)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564"/>
        </w:trPr>
        <w:tc>
          <w:tcPr>
            <w:tcW w:w="362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Gesamter organischer Kohlenstoff (Feststoff- TOC)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15936 (12/2016)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16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lastRenderedPageBreak/>
              <w:t>Benzol und Derivate (BTXE)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22155 (07/2016)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08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polychlorierte Biphenyle (PCB)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DIN EN 15308 (12/2016)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853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Mineralöl-Kohlenwasserstoffe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14039 (01/2005) in Verbindung mit LAGA KW/04 (09/2019)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540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polycyclische aromatische Kohlenwasserstoffe (PAK)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DIN ISO 18287 (05/2006)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sz w:val="16"/>
          <w:szCs w:val="16"/>
        </w:rPr>
      </w:pPr>
    </w:p>
    <w:p>
      <w:pPr>
        <w:spacing w:before="0" w:after="0"/>
        <w:jc w:val="left"/>
        <w:rPr>
          <w:rFonts w:cs="Arial"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3406"/>
        <w:gridCol w:w="446"/>
        <w:gridCol w:w="446"/>
        <w:gridCol w:w="446"/>
        <w:gridCol w:w="446"/>
        <w:gridCol w:w="446"/>
      </w:tblGrid>
      <w:tr>
        <w:trPr>
          <w:trHeight w:val="378"/>
        </w:trPr>
        <w:tc>
          <w:tcPr>
            <w:tcW w:w="7058" w:type="dxa"/>
            <w:gridSpan w:val="2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Teilbereich A-3: Bestimmung des Gehaltes im Eluat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1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3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4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5</w:t>
            </w:r>
          </w:p>
        </w:tc>
      </w:tr>
      <w:tr>
        <w:trPr>
          <w:trHeight w:val="658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Eluatherstellung mit Flüssigkeits-/Feststoffverhältnis 10/1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12457-4 (01/2003)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Eluatherstellung mit jeweils konstantem pH-Wert 4 und 11/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Säulenneutralisationskapazität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LAGA-Richtlinie EW 98 (09/2017)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566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Perkolationsprüfung im Aufwärtsstrom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19528 (01/2009)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14405 (05/2017)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05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pH-Wert des Eluates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10523 (04/2012)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25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Leitfähigkeit aus Eluat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27888 (11/1993)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854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Gesamtgehalt an gelösten Feststoffen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38409-1 (01/1987)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38409-2 (03/1987)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15216 (01/2008)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12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Sulfat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10 304-1 (07/2009)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566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Fluorid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10304-1 (07/2009)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38405-4 (07/1985)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612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Chlorid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10304-1 (07/2009)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15682 (01/2002)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988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Cyanid leicht freisetzbar, aus Eluat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DIN 38405-13 (04/2011)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ISO 17380 (05/2006) (bei sulfidhaltigen Abfällen)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ISO14403 (10/2012)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631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DOC (gelöster organischer Kohlenstoff)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1484 (04/2019)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04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DOC bei pH-Wert zwischen 7,5 und 8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LAGA-Richtlinie EW 98 (09/2017)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540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Phenole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38409-16 (06/1984)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DIN EN ISO 14402 (12/1999)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832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Blei, Cadmium, Chrom, Kupfer, Nickel und Zink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11885 (09/2009)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ISO 22036 (06/2009)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17294-2 (01/2017)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985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Arsen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11969 (11/1996)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11885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ISO 22036 (06/2009)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17294-2 (01/2017)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546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Quecksilber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12 846 (08/2012)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17852 (04/2008)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859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lastRenderedPageBreak/>
              <w:t>Barium, Molybdän, Selen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ISO 22036 (06/2009)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11885 (09/2009)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17294-2 (01/2017)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971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Antimon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38405-32 (05/2000)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ISO 22036 (06/2009)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11885 (09/2009)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17294-2 (01/2017)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36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Trockenrückstand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14346 (03/2007)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sz w:val="16"/>
          <w:szCs w:val="16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5"/>
        <w:gridCol w:w="3403"/>
        <w:gridCol w:w="446"/>
        <w:gridCol w:w="446"/>
        <w:gridCol w:w="446"/>
        <w:gridCol w:w="446"/>
        <w:gridCol w:w="446"/>
      </w:tblGrid>
      <w:tr>
        <w:trPr>
          <w:trHeight w:val="601"/>
        </w:trPr>
        <w:tc>
          <w:tcPr>
            <w:tcW w:w="7054" w:type="dxa"/>
            <w:gridSpan w:val="2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Teilbereich A-4: Biologische Abbaubarkeit des Trockenrückstands der Originalsubstanz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>
        <w:trPr>
          <w:trHeight w:val="410"/>
        </w:trPr>
        <w:tc>
          <w:tcPr>
            <w:tcW w:w="3652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Atmungsaktivität über 4 Tage (AT</w:t>
            </w:r>
            <w:r>
              <w:rPr>
                <w:rFonts w:cs="Arial"/>
                <w:vertAlign w:val="subscript"/>
              </w:rPr>
              <w:t>4</w:t>
            </w:r>
            <w:r>
              <w:rPr>
                <w:rFonts w:cs="Arial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Anhang 4 Nr. 3.3.1 DepV (2020)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16"/>
        </w:trPr>
        <w:tc>
          <w:tcPr>
            <w:tcW w:w="3652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Gasbildung über 21 Tage (GB</w:t>
            </w:r>
            <w:r>
              <w:rPr>
                <w:rFonts w:cs="Arial"/>
                <w:vertAlign w:val="subscript"/>
              </w:rPr>
              <w:t>21</w:t>
            </w:r>
            <w:r>
              <w:rPr>
                <w:rFonts w:cs="Arial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Anhang 4 Nr. 3.3.2 DepV (2020)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</w:rPr>
      </w:pPr>
    </w:p>
    <w:p>
      <w:pPr>
        <w:spacing w:before="0" w:after="0"/>
        <w:jc w:val="left"/>
        <w:rPr>
          <w:rFonts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5"/>
        <w:gridCol w:w="3403"/>
        <w:gridCol w:w="446"/>
        <w:gridCol w:w="446"/>
        <w:gridCol w:w="446"/>
        <w:gridCol w:w="446"/>
        <w:gridCol w:w="446"/>
      </w:tblGrid>
      <w:tr>
        <w:trPr>
          <w:trHeight w:val="408"/>
        </w:trPr>
        <w:tc>
          <w:tcPr>
            <w:tcW w:w="7058" w:type="dxa"/>
            <w:gridSpan w:val="2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Teilbereich A-5: Untersuchung von Altöl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>
        <w:trPr>
          <w:trHeight w:val="856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Probenahme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DIN EN ISO 3170 (06/2004), Berichtigung 1 (12/2007) und </w:t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ISO 3171 (11/2000)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1123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polychlorierte Biphenyle (PCB)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12766- 1 (11/2000)</w:t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 Verbindung mit</w:t>
            </w:r>
            <w:r>
              <w:rPr>
                <w:rFonts w:cs="Arial"/>
              </w:rPr>
              <w:br/>
            </w:r>
            <w:r>
              <w:rPr>
                <w:rFonts w:cs="Arial"/>
                <w:color w:val="000000"/>
              </w:rPr>
              <w:t>DIN EN 12766-2 (12/2001), Verfahren B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1252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Gesamthalogen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Verbrennung nach DIN EN 14582 (12/2016), Bestimmung des Halogenidgehaltes nach Anlage 2, Nr. 3.3.2.1 AltölV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ISO 15597 (01/2006)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5"/>
        <w:gridCol w:w="3403"/>
        <w:gridCol w:w="446"/>
        <w:gridCol w:w="446"/>
        <w:gridCol w:w="446"/>
        <w:gridCol w:w="446"/>
        <w:gridCol w:w="446"/>
      </w:tblGrid>
      <w:tr>
        <w:trPr>
          <w:trHeight w:val="1356"/>
        </w:trPr>
        <w:tc>
          <w:tcPr>
            <w:tcW w:w="7058" w:type="dxa"/>
            <w:gridSpan w:val="2"/>
            <w:shd w:val="clear" w:color="auto" w:fill="auto"/>
            <w:vAlign w:val="center"/>
          </w:tcPr>
          <w:p>
            <w:pPr>
              <w:tabs>
                <w:tab w:val="clear" w:pos="425"/>
                <w:tab w:val="left" w:pos="1560"/>
              </w:tabs>
              <w:spacing w:before="0" w:after="0"/>
              <w:jc w:val="lef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Teilbereich A-6: Zusätzliche Parameter für Abfall</w:t>
            </w:r>
          </w:p>
          <w:p>
            <w:pPr>
              <w:tabs>
                <w:tab w:val="clear" w:pos="425"/>
                <w:tab w:val="left" w:pos="1560"/>
              </w:tabs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Notifizierung nur zusammen mit mindestens einem Teilbereich A-1 bis A-5;</w:t>
            </w:r>
          </w:p>
          <w:p>
            <w:pPr>
              <w:tabs>
                <w:tab w:val="clear" w:pos="425"/>
                <w:tab w:val="left" w:pos="1560"/>
              </w:tabs>
              <w:spacing w:before="0"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</w:rPr>
              <w:t>Einzelne zusätzliche Parameter außerhalb des FM Abfall, diesem Teilbereich können weitere Parameter zugefügt werden.)</w:t>
            </w:r>
          </w:p>
        </w:tc>
        <w:tc>
          <w:tcPr>
            <w:tcW w:w="446" w:type="dxa"/>
            <w:vAlign w:val="center"/>
          </w:tcPr>
          <w:p>
            <w:pPr>
              <w:tabs>
                <w:tab w:val="clear" w:pos="425"/>
                <w:tab w:val="left" w:pos="1560"/>
              </w:tabs>
              <w:spacing w:before="0" w:after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446" w:type="dxa"/>
            <w:vAlign w:val="center"/>
          </w:tcPr>
          <w:p>
            <w:pPr>
              <w:tabs>
                <w:tab w:val="clear" w:pos="425"/>
                <w:tab w:val="left" w:pos="1560"/>
              </w:tabs>
              <w:spacing w:before="0" w:after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tabs>
                <w:tab w:val="clear" w:pos="425"/>
                <w:tab w:val="left" w:pos="1560"/>
              </w:tabs>
              <w:spacing w:before="0" w:after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446" w:type="dxa"/>
            <w:vAlign w:val="center"/>
          </w:tcPr>
          <w:p>
            <w:pPr>
              <w:tabs>
                <w:tab w:val="clear" w:pos="425"/>
                <w:tab w:val="left" w:pos="1560"/>
              </w:tabs>
              <w:spacing w:before="0" w:after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446" w:type="dxa"/>
            <w:vAlign w:val="center"/>
          </w:tcPr>
          <w:p>
            <w:pPr>
              <w:tabs>
                <w:tab w:val="clear" w:pos="425"/>
                <w:tab w:val="left" w:pos="1560"/>
              </w:tabs>
              <w:spacing w:before="0" w:after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5</w:t>
            </w:r>
          </w:p>
        </w:tc>
      </w:tr>
      <w:tr>
        <w:trPr>
          <w:trHeight w:val="330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Gefriertrocknung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ISO 16720 (06/2007)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20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Chrom VI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15192 (02/2007)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12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Schwefel gesamt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14582 (12/2016)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04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Chlor gesamt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14582 (12/2016)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extrahierbare organische Halogenverbindungen (EOX)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38 414-17 (04/2014)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291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Phenole im Eluat 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38 407-27 (10/2012)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845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LHKW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HLUG Handbuch Altlasten Bd. 7, Teil 4 (10/2000) </w:t>
            </w:r>
          </w:p>
          <w:p>
            <w:pPr>
              <w:spacing w:before="0" w:after="0"/>
              <w:jc w:val="left"/>
              <w:rPr>
                <w:rFonts w:cs="Arial"/>
                <w:b/>
                <w:color w:val="984806"/>
              </w:rPr>
            </w:pPr>
            <w:r>
              <w:rPr>
                <w:rFonts w:cs="Arial"/>
                <w:color w:val="000000"/>
              </w:rPr>
              <w:t>DIN ISO 15009 (06/2013)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701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Feststoff-TOC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15936 (11/2012)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19539 (12/2013)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8755" w:type="dxa"/>
        <w:tblLook w:val="00A0" w:firstRow="1" w:lastRow="0" w:firstColumn="1" w:lastColumn="0" w:noHBand="0" w:noVBand="0"/>
      </w:tblPr>
      <w:tblGrid>
        <w:gridCol w:w="8755"/>
      </w:tblGrid>
      <w:tr>
        <w:tc>
          <w:tcPr>
            <w:tcW w:w="8755" w:type="dxa"/>
            <w:shd w:val="clear" w:color="auto" w:fill="auto"/>
          </w:tcPr>
          <w:p>
            <w:pPr>
              <w:tabs>
                <w:tab w:val="clear" w:pos="425"/>
                <w:tab w:val="left" w:pos="851"/>
              </w:tabs>
              <w:spacing w:before="0" w:after="0"/>
              <w:jc w:val="left"/>
              <w:rPr>
                <w:rFonts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u w:val="single"/>
              </w:rPr>
              <w:t>B und C - Allgemeine Untersuchungsparameter und -verfahren für Sickerwasser sowie Grund- und Oberflächenwasser</w:t>
            </w:r>
          </w:p>
        </w:tc>
      </w:tr>
    </w:tbl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Notifizierung für die Teilbereiche B-1 bis B-3 (Sickerwasser) bzw. C-1 bis C-3 (Grund- und Oberflächenwasser) ist nur für alle Parameter eines Teilbereichs möglich. Die Teilbereiche B-4 / C-4 sind nur zusammen mit einem anderen Teilbereich dieser Matrix zu notifizieren. In diesen Teilbereichen ist die Notifizierung einzelner Untersuchungsparameter möglich.</w:t>
      </w:r>
    </w:p>
    <w:p>
      <w:pPr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Für andere als die hier aufgeführten Verfahren ist durch die Untersuchungsstelle die Gleichwertigkeit nachzuweisen. Hierbei ist das LAWA-Merkblatt A 11 in der jeweils aktuellen Fassung zu berücksichtigen. </w:t>
      </w:r>
    </w:p>
    <w:p>
      <w:pPr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Sofern die aufgeführten Verfahren nicht mit „und“ verbunden sind, ist mindestens eines der angegebenen Verfahren in der entsprechenden Matrix (Sickerwasser / Grund-, Oberflächen-wasser) nachzuweisen.</w:t>
      </w:r>
    </w:p>
    <w:p>
      <w:pPr>
        <w:spacing w:before="0" w:after="0"/>
        <w:jc w:val="left"/>
        <w:rPr>
          <w:rFonts w:cs="Arial"/>
          <w:color w:val="000000"/>
          <w:sz w:val="22"/>
          <w:szCs w:val="22"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260"/>
        <w:gridCol w:w="567"/>
        <w:gridCol w:w="822"/>
        <w:gridCol w:w="425"/>
        <w:gridCol w:w="426"/>
        <w:gridCol w:w="426"/>
        <w:gridCol w:w="426"/>
        <w:gridCol w:w="426"/>
      </w:tblGrid>
      <w:tr>
        <w:trPr>
          <w:cantSplit/>
          <w:trHeight w:val="2077"/>
        </w:trPr>
        <w:tc>
          <w:tcPr>
            <w:tcW w:w="5665" w:type="dxa"/>
            <w:gridSpan w:val="2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Teilbereich B-1 (Sickerwasser) und </w:t>
            </w:r>
          </w:p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Teilbereich C-1 (Grund- und Oberflächenwasser):</w:t>
            </w:r>
          </w:p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Probenahme und allg. Kenngrößen für Sicker-, Grund- und Oberflächenwasser</w:t>
            </w: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Sickerwasser </w:t>
            </w:r>
          </w:p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B-1</w:t>
            </w:r>
          </w:p>
        </w:tc>
        <w:tc>
          <w:tcPr>
            <w:tcW w:w="822" w:type="dxa"/>
            <w:textDirection w:val="btLr"/>
            <w:vAlign w:val="center"/>
          </w:tcPr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Grund-, Oberflächenwasser</w:t>
            </w:r>
          </w:p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C-1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>
        <w:trPr>
          <w:cantSplit/>
          <w:trHeight w:val="324"/>
        </w:trPr>
        <w:tc>
          <w:tcPr>
            <w:tcW w:w="240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Probenahme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t>DIN 38 402-11 (02/09)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22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9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Probenahme aus Fließgewässern, Grundwasserleitern und stehenden Gewässern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DIN EN ISO 5667-6 (12/2016) </w:t>
            </w:r>
            <w:r>
              <w:rPr>
                <w:rFonts w:cs="Arial"/>
                <w:w w:val="95"/>
              </w:rPr>
              <w:t>und</w:t>
            </w:r>
            <w:r>
              <w:rPr>
                <w:rFonts w:cs="Arial"/>
              </w:rPr>
              <w:t xml:space="preserve"> 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38 402-13 (12/1985) und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38 402-12 (06/1985)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bookmarkStart w:id="1" w:name="_GoBack"/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544"/>
        </w:trPr>
        <w:tc>
          <w:tcPr>
            <w:tcW w:w="240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Homogenisierung von Teilproben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38 402-30 (07/1998)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22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340"/>
        </w:trPr>
        <w:tc>
          <w:tcPr>
            <w:tcW w:w="240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Temperatur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38 404-4 (12/1976)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22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402"/>
        </w:trPr>
        <w:tc>
          <w:tcPr>
            <w:tcW w:w="240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pH-Wert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10523 (04/2012)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822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435"/>
        </w:trPr>
        <w:tc>
          <w:tcPr>
            <w:tcW w:w="240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Leitfähigkeit (25°C)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27 888 (11/1993)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22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555"/>
        </w:trPr>
        <w:tc>
          <w:tcPr>
            <w:tcW w:w="240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Geruch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DIN EN 1622 Anlage C (10/2006) 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822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563"/>
        </w:trPr>
        <w:tc>
          <w:tcPr>
            <w:tcW w:w="240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Färbung  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7887 Verfahren A (04/2012)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822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5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Trübung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7027 (04/2000)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4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  <w:color w:val="000000"/>
              </w:rPr>
              <w:t>Redoxspannung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  <w:color w:val="000000"/>
              </w:rPr>
              <w:t>DIN 38 404-6 (05/1984)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8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Sauerstoffgehalt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25 813 (01/1993)</w:t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ISO 5814 (03/2013)</w:t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ISO 17289 (04/2014)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color w:val="0070C0"/>
          <w:sz w:val="18"/>
          <w:szCs w:val="18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4"/>
        <w:gridCol w:w="3403"/>
        <w:gridCol w:w="567"/>
        <w:gridCol w:w="850"/>
        <w:gridCol w:w="425"/>
        <w:gridCol w:w="425"/>
        <w:gridCol w:w="425"/>
        <w:gridCol w:w="425"/>
        <w:gridCol w:w="425"/>
      </w:tblGrid>
      <w:tr>
        <w:trPr>
          <w:cantSplit/>
          <w:trHeight w:val="2126"/>
        </w:trPr>
        <w:tc>
          <w:tcPr>
            <w:tcW w:w="5637" w:type="dxa"/>
            <w:gridSpan w:val="2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Teilbereich B-2 (Sickerwasser) und </w:t>
            </w:r>
          </w:p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Teilbereich C-2 (Grund- und Oberflächenwasser):</w:t>
            </w:r>
          </w:p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Fotometrie, Ionenchromatographie, Maßanalyse für Sicker-, Grund- und Oberflächenwasser</w:t>
            </w: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Sickerwasser</w:t>
            </w:r>
          </w:p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B-2</w:t>
            </w:r>
          </w:p>
        </w:tc>
        <w:tc>
          <w:tcPr>
            <w:tcW w:w="850" w:type="dxa"/>
            <w:textDirection w:val="btLr"/>
            <w:vAlign w:val="center"/>
          </w:tcPr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Grund-, Oberflächenwasser</w:t>
            </w:r>
          </w:p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C-2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>
        <w:trPr>
          <w:trHeight w:val="974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Ammoniumstickstoff</w:t>
            </w:r>
          </w:p>
        </w:tc>
        <w:tc>
          <w:tcPr>
            <w:tcW w:w="3403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38 406-5 (10/1983)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11 732 (05/2005)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ISO 15923-1 (07/2014)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14 911 (12/1999)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705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Chrom (VI)</w:t>
            </w:r>
          </w:p>
        </w:tc>
        <w:tc>
          <w:tcPr>
            <w:tcW w:w="3403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38405-D24 (05/1987)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DIN EN ISO 10304-3, 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Abschnitt 6 (11/1997)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23913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18412 (02/2007)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807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Gesamtphosphor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(oder in B 3/C3)</w:t>
            </w:r>
          </w:p>
        </w:tc>
        <w:tc>
          <w:tcPr>
            <w:tcW w:w="3403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6878 (09/2004)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15 681- 1 (05/2005)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15 681- 2 (05/2005)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1273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Chlorid</w:t>
            </w:r>
          </w:p>
        </w:tc>
        <w:tc>
          <w:tcPr>
            <w:tcW w:w="3403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10304-1 (07/2009)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15 682 (01/2002)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ISO 15923-1 (07/2014)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38 405-D1-1/D1-2 (12/1985)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38 405-D1-3/D1-4 (12/1985)</w:t>
            </w: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990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Cyanid (leicht freisetzbar)</w:t>
            </w:r>
          </w:p>
        </w:tc>
        <w:tc>
          <w:tcPr>
            <w:tcW w:w="3403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38 405-13-2 (02/1981)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14 403-1 (10/2012)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14 403-2 (10/2012)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38 405-D7 (04/2002)</w:t>
            </w: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839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Cyanid (Gesamt-)</w:t>
            </w:r>
          </w:p>
        </w:tc>
        <w:tc>
          <w:tcPr>
            <w:tcW w:w="3403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38 405-13-1 (02/1981)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14 403-1 (10/2012)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14 403-2 (10/2012)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38 405-D7 (04/2002)</w:t>
            </w: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1402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Nitratstickstoff</w:t>
            </w:r>
          </w:p>
        </w:tc>
        <w:tc>
          <w:tcPr>
            <w:tcW w:w="3403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10 304-1 (07/2009)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13 395 (12/1996)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38 405-D9 (09/2011)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ISO 15923-1 (07/2014)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38 405-D29 (11/1994)</w:t>
            </w: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978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Nitritstickstoff</w:t>
            </w:r>
          </w:p>
        </w:tc>
        <w:tc>
          <w:tcPr>
            <w:tcW w:w="3403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26 777 (04/1993)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10 304-1 (07/2009)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13 395 (12/1996)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DIN ISO 15923-1 (07/2014) 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836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Sulfat</w:t>
            </w:r>
          </w:p>
        </w:tc>
        <w:tc>
          <w:tcPr>
            <w:tcW w:w="3403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38 405-D5 (01/1985)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10304-1 (07/2009)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15923-1 (07/2014)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78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Sulfid (leicht freisetzbar)</w:t>
            </w:r>
          </w:p>
        </w:tc>
        <w:tc>
          <w:tcPr>
            <w:tcW w:w="3403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38405 -27 (07/1992)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99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Fluorid (gelöst)</w:t>
            </w:r>
          </w:p>
        </w:tc>
        <w:tc>
          <w:tcPr>
            <w:tcW w:w="3403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38405-4-1 (07/1985)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10 304-1 (07/2009)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c>
          <w:tcPr>
            <w:tcW w:w="2234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UV-Absorption bei 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254 nm (SAK 254)</w:t>
            </w:r>
          </w:p>
        </w:tc>
        <w:tc>
          <w:tcPr>
            <w:tcW w:w="3403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38404-3 (07/2005)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UV-Absorption bei 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436 nm (SAK 436)</w:t>
            </w:r>
          </w:p>
        </w:tc>
        <w:tc>
          <w:tcPr>
            <w:tcW w:w="3403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7887 (12/1994)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7887 (04/2012) Verfahren B</w:t>
            </w: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714"/>
        <w:gridCol w:w="709"/>
        <w:gridCol w:w="850"/>
        <w:gridCol w:w="425"/>
        <w:gridCol w:w="426"/>
        <w:gridCol w:w="425"/>
        <w:gridCol w:w="425"/>
        <w:gridCol w:w="425"/>
      </w:tblGrid>
      <w:tr>
        <w:trPr>
          <w:cantSplit/>
          <w:trHeight w:val="2126"/>
        </w:trPr>
        <w:tc>
          <w:tcPr>
            <w:tcW w:w="5983" w:type="dxa"/>
            <w:gridSpan w:val="2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Teilbereich B-3 (Sickerwasser) und </w:t>
            </w:r>
          </w:p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Teilbereich C-3 (Grund- und Oberflächenwasser):</w:t>
            </w:r>
          </w:p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Elementanalytik für Sicker-, Grund und Oberflächenwasser</w:t>
            </w:r>
          </w:p>
        </w:tc>
        <w:tc>
          <w:tcPr>
            <w:tcW w:w="709" w:type="dxa"/>
            <w:textDirection w:val="btLr"/>
            <w:vAlign w:val="center"/>
          </w:tcPr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Sickerwasser</w:t>
            </w:r>
          </w:p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B-3</w:t>
            </w:r>
          </w:p>
        </w:tc>
        <w:tc>
          <w:tcPr>
            <w:tcW w:w="850" w:type="dxa"/>
            <w:textDirection w:val="btLr"/>
            <w:vAlign w:val="center"/>
          </w:tcPr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Grund-, Oberflächenwasser</w:t>
            </w:r>
          </w:p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C-3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>
        <w:trPr>
          <w:cantSplit/>
          <w:trHeight w:val="1294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Arsen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11969 (11/1996)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38405-D35 (09/2004)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973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Blei</w:t>
            </w:r>
          </w:p>
        </w:tc>
        <w:tc>
          <w:tcPr>
            <w:tcW w:w="3714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38 406-6 (07/1998)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</w:tc>
        <w:tc>
          <w:tcPr>
            <w:tcW w:w="709" w:type="dxa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</w:tcPr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013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Cadmium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5961 (05/1995)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004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Chrom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1233 (08/1996)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099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Kupfer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38 406-7 (09/1991)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986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Nickel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38 406-11 (09/1991)</w:t>
            </w:r>
          </w:p>
          <w:p>
            <w:pPr>
              <w:spacing w:before="0" w:after="0"/>
              <w:jc w:val="left"/>
              <w:rPr>
                <w:rFonts w:cs="Arial"/>
                <w:strike/>
              </w:rPr>
            </w:pPr>
            <w:r>
              <w:rPr>
                <w:rFonts w:cs="Arial"/>
              </w:rPr>
              <w:t>DIN EN ISO 11885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836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Quecksilber  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1483 (07/2007)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17 852 (04/2008)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12 846 (08/2012)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985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Zink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38 406-E8 (10/2004)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552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Phosphor 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(oder in B 2/C2)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992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Aluminium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12020 (05/2000)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128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Eisen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38 406-32 (05/2000)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130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Natrium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38 406-14 (07/1992)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14 911 (12/1999)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119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Kalium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38 406-13 (07/1992)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14 911 (12/1999)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276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Magnesium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38 406-3 (03/2002)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7980 (07/2000)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14 911 (12/1999)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267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Calcium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 3 (03/2002)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7980 (07/2000)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14 911 (12/1999)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5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Bor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2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Mangan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38 406-33 (06/2000)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14 911 (12/1999)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color w:val="0070C0"/>
          <w:sz w:val="18"/>
          <w:szCs w:val="18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9"/>
        <w:gridCol w:w="3177"/>
        <w:gridCol w:w="567"/>
        <w:gridCol w:w="879"/>
        <w:gridCol w:w="425"/>
        <w:gridCol w:w="426"/>
        <w:gridCol w:w="425"/>
        <w:gridCol w:w="425"/>
        <w:gridCol w:w="425"/>
      </w:tblGrid>
      <w:tr>
        <w:trPr>
          <w:cantSplit/>
          <w:trHeight w:val="2268"/>
        </w:trPr>
        <w:tc>
          <w:tcPr>
            <w:tcW w:w="6096" w:type="dxa"/>
            <w:gridSpan w:val="2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Teilbereich B-4 (Sickerwasser) und </w:t>
            </w:r>
          </w:p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Teilbereich C-4 (Grund- und Oberflächenwasser):</w:t>
            </w:r>
          </w:p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Zusätzliche Parameter für Sicker-, Grund- und Oberflächenwasser</w:t>
            </w:r>
          </w:p>
          <w:p>
            <w:pPr>
              <w:tabs>
                <w:tab w:val="clear" w:pos="425"/>
                <w:tab w:val="left" w:pos="1560"/>
              </w:tabs>
              <w:spacing w:before="0" w:after="0"/>
              <w:jc w:val="left"/>
              <w:rPr>
                <w:rFonts w:cs="Arial"/>
              </w:rPr>
            </w:pPr>
          </w:p>
          <w:p>
            <w:pPr>
              <w:tabs>
                <w:tab w:val="clear" w:pos="425"/>
                <w:tab w:val="left" w:pos="1560"/>
              </w:tabs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Notifizierung für Sickerwasser nur zusammen mit mindestens einem Teilbereich B-1 bis B-3 bzw. für Grund- und Oberflächenwasser mit mindestens einem Teilbereich C-1 bis C-3</w:t>
            </w:r>
          </w:p>
          <w:p>
            <w:pPr>
              <w:tabs>
                <w:tab w:val="clear" w:pos="425"/>
                <w:tab w:val="left" w:pos="1560"/>
              </w:tabs>
              <w:spacing w:before="0" w:after="0"/>
              <w:jc w:val="left"/>
              <w:rPr>
                <w:rFonts w:cs="Arial"/>
              </w:rPr>
            </w:pPr>
          </w:p>
          <w:p>
            <w:pPr>
              <w:tabs>
                <w:tab w:val="clear" w:pos="425"/>
                <w:tab w:val="left" w:pos="1560"/>
              </w:tabs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Diesem Teilbereich können weitere Parameter zugefügt werden.</w:t>
            </w: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Sickerwasser</w:t>
            </w:r>
          </w:p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B-4</w:t>
            </w:r>
          </w:p>
        </w:tc>
        <w:tc>
          <w:tcPr>
            <w:tcW w:w="879" w:type="dxa"/>
            <w:textDirection w:val="btLr"/>
            <w:vAlign w:val="center"/>
          </w:tcPr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Grund-, Oberflächenwasser</w:t>
            </w:r>
          </w:p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C-4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>
        <w:trPr>
          <w:cantSplit/>
          <w:trHeight w:val="839"/>
        </w:trPr>
        <w:tc>
          <w:tcPr>
            <w:tcW w:w="2919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gesamter organisch gebundener Kohlenstoff (TOC)</w:t>
            </w:r>
          </w:p>
        </w:tc>
        <w:tc>
          <w:tcPr>
            <w:tcW w:w="3177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1484 (08/1997)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7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654"/>
        </w:trPr>
        <w:tc>
          <w:tcPr>
            <w:tcW w:w="2919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adsorbierbare organische Halogenverbindungen (AOX)</w:t>
            </w:r>
          </w:p>
        </w:tc>
        <w:tc>
          <w:tcPr>
            <w:tcW w:w="3177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DIN EN ISO 9562 (02/2005) 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7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422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Kohlenwasserstoffindex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ISO 9377-2 (07/2001)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981"/>
        </w:trPr>
        <w:tc>
          <w:tcPr>
            <w:tcW w:w="2919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polycyclische aromatische Kohlenwasserstoffe (PAK)</w:t>
            </w:r>
          </w:p>
        </w:tc>
        <w:tc>
          <w:tcPr>
            <w:tcW w:w="3177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38 407-39 (09/2011)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ISO 28540 (05/2014)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16691 (12/2015)</w:t>
            </w:r>
          </w:p>
          <w:p>
            <w:pPr>
              <w:spacing w:before="0" w:after="0"/>
              <w:jc w:val="left"/>
              <w:rPr>
                <w:rFonts w:cs="Arial"/>
                <w:color w:val="993300"/>
              </w:rPr>
            </w:pPr>
            <w:r>
              <w:rPr>
                <w:rFonts w:cs="Arial"/>
              </w:rPr>
              <w:t>DIN EN ISO 17993 (03/2004)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7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980"/>
        </w:trPr>
        <w:tc>
          <w:tcPr>
            <w:tcW w:w="2919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Leichtflüchtige Halogenkohlenwasserstoffe (LHKW)</w:t>
            </w:r>
          </w:p>
        </w:tc>
        <w:tc>
          <w:tcPr>
            <w:tcW w:w="3177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10301 (08/1997)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15680 (04/2004)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38407-43 (10/2014)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17943 (11/2016)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981"/>
        </w:trPr>
        <w:tc>
          <w:tcPr>
            <w:tcW w:w="2919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Benzol und Derivate (BTXE)</w:t>
            </w:r>
          </w:p>
        </w:tc>
        <w:tc>
          <w:tcPr>
            <w:tcW w:w="3177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38 407-9 (05/1991)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15680 (04/2004)</w:t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38407-43 (10/2014)</w:t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ISO 17943 (11/2016)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356"/>
        </w:trPr>
        <w:tc>
          <w:tcPr>
            <w:tcW w:w="2919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Säure- und Basenkapazität</w:t>
            </w:r>
          </w:p>
        </w:tc>
        <w:tc>
          <w:tcPr>
            <w:tcW w:w="3177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38 409-7 (12/2005)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7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729"/>
        </w:trPr>
        <w:tc>
          <w:tcPr>
            <w:tcW w:w="2919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polychlorierte Biphenyle (PCB)</w:t>
            </w:r>
          </w:p>
        </w:tc>
        <w:tc>
          <w:tcPr>
            <w:tcW w:w="3177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38 407-3 (07/1998)</w:t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ISO 6468 (02/1997)</w:t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38407-37 (11/2013)</w:t>
            </w: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79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>
        <w:trPr>
          <w:trHeight w:val="533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clear" w:pos="425"/>
                <w:tab w:val="left" w:pos="318"/>
              </w:tabs>
              <w:spacing w:before="0" w:after="0"/>
              <w:jc w:val="left"/>
              <w:rPr>
                <w:rFonts w:cs="Arial"/>
                <w:b/>
                <w:bCs/>
                <w:color w:val="000000"/>
                <w:u w:val="single"/>
              </w:rPr>
            </w:pPr>
            <w:r>
              <w:rPr>
                <w:rFonts w:cs="Arial"/>
                <w:b/>
                <w:bCs/>
                <w:color w:val="000000"/>
                <w:u w:val="single"/>
              </w:rPr>
              <w:t xml:space="preserve">D - Biologische Untersuchungsparameter und -Verfahren für Sicker-, Grund- und Oberflächenwasser </w:t>
            </w:r>
          </w:p>
        </w:tc>
      </w:tr>
    </w:tbl>
    <w:p>
      <w:pPr>
        <w:spacing w:before="0" w:after="0"/>
        <w:jc w:val="left"/>
        <w:rPr>
          <w:rFonts w:cs="Arial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8"/>
        <w:gridCol w:w="5374"/>
        <w:gridCol w:w="425"/>
        <w:gridCol w:w="426"/>
        <w:gridCol w:w="425"/>
        <w:gridCol w:w="425"/>
        <w:gridCol w:w="425"/>
      </w:tblGrid>
      <w:tr>
        <w:trPr>
          <w:trHeight w:val="388"/>
        </w:trPr>
        <w:tc>
          <w:tcPr>
            <w:tcW w:w="7542" w:type="dxa"/>
            <w:gridSpan w:val="2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Teilbereich D-1</w:t>
            </w:r>
            <w:r>
              <w:rPr>
                <w:rFonts w:cs="Arial"/>
                <w:b/>
                <w:bCs/>
                <w:color w:val="000000"/>
              </w:rPr>
              <w:t>: Biologische Verfahren, Biotests für Sicker-, Grund- und Oberflächenwasser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Leuchtbakterien Hemmtest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DIN EN ISO 11348-1 (05/2009) 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11348- 2 (05/2009)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Fischeitest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15088 (06/2009)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7"/>
        <w:gridCol w:w="5255"/>
        <w:gridCol w:w="425"/>
        <w:gridCol w:w="426"/>
        <w:gridCol w:w="425"/>
        <w:gridCol w:w="425"/>
        <w:gridCol w:w="425"/>
      </w:tblGrid>
      <w:tr>
        <w:trPr>
          <w:trHeight w:val="592"/>
        </w:trPr>
        <w:tc>
          <w:tcPr>
            <w:tcW w:w="7542" w:type="dxa"/>
            <w:gridSpan w:val="2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Teilbereich D-2: Zusätzliche biologische Parameter für Sicker-, Grund- und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  <w:b/>
              </w:rPr>
              <w:t xml:space="preserve">Oberflächenwasser </w:t>
            </w:r>
          </w:p>
          <w:p>
            <w:pPr>
              <w:spacing w:before="0" w:after="0"/>
              <w:jc w:val="left"/>
              <w:rPr>
                <w:rFonts w:cs="Arial"/>
                <w:b/>
                <w:color w:val="215868"/>
              </w:rPr>
            </w:pPr>
            <w:r>
              <w:rPr>
                <w:rFonts w:cs="Arial"/>
              </w:rPr>
              <w:t>D</w:t>
            </w:r>
            <w:r>
              <w:rPr>
                <w:rFonts w:cs="Arial"/>
                <w:color w:val="000000"/>
              </w:rPr>
              <w:t>iesem Teilbereich können weitere Parameter zugefügt werden.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>
        <w:trPr>
          <w:trHeight w:val="366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Daphnientest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38 412-30 (03/1989)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</w:p>
    <w:sectPr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lef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Verzeichnis der Untersuchungsverfahren – Stand: </w:t>
    </w:r>
  </w:p>
  <w:p>
    <w:pPr>
      <w:pStyle w:val="Fuzeile"/>
      <w:jc w:val="left"/>
      <w:rPr>
        <w:rFonts w:cs="Arial"/>
        <w:sz w:val="18"/>
        <w:szCs w:val="18"/>
      </w:rPr>
    </w:pPr>
    <w:r>
      <w:rPr>
        <w:rFonts w:cs="Arial"/>
        <w:sz w:val="18"/>
        <w:szCs w:val="18"/>
      </w:rPr>
      <w:t>Anlage zum Bescheid vom     nach § 16 LKrWG, Az. 61.48.01.08/</w:t>
    </w:r>
  </w:p>
  <w:p>
    <w:pPr>
      <w:pStyle w:val="Fuzeile"/>
      <w:jc w:val="right"/>
      <w:rPr>
        <w:rStyle w:val="Seitenzahl"/>
        <w:rFonts w:cs="Arial"/>
        <w:sz w:val="18"/>
        <w:szCs w:val="18"/>
      </w:rPr>
    </w:pPr>
    <w:r>
      <w:rPr>
        <w:rFonts w:cs="Arial"/>
        <w:sz w:val="18"/>
        <w:szCs w:val="18"/>
      </w:rPr>
      <w:t xml:space="preserve">Seite </w:t>
    </w:r>
    <w:r>
      <w:rPr>
        <w:rStyle w:val="Seitenzahl"/>
        <w:rFonts w:cs="Arial"/>
        <w:sz w:val="18"/>
        <w:szCs w:val="18"/>
      </w:rPr>
      <w:fldChar w:fldCharType="begin"/>
    </w:r>
    <w:r>
      <w:rPr>
        <w:rStyle w:val="Seitenzahl"/>
        <w:rFonts w:cs="Arial"/>
        <w:sz w:val="18"/>
        <w:szCs w:val="18"/>
      </w:rPr>
      <w:instrText xml:space="preserve"> PAGE </w:instrText>
    </w:r>
    <w:r>
      <w:rPr>
        <w:rStyle w:val="Seitenzahl"/>
        <w:rFonts w:cs="Arial"/>
        <w:sz w:val="18"/>
        <w:szCs w:val="18"/>
      </w:rPr>
      <w:fldChar w:fldCharType="separate"/>
    </w:r>
    <w:r>
      <w:rPr>
        <w:rStyle w:val="Seitenzahl"/>
        <w:rFonts w:cs="Arial"/>
        <w:noProof/>
        <w:sz w:val="18"/>
        <w:szCs w:val="18"/>
      </w:rPr>
      <w:t>3</w:t>
    </w:r>
    <w:r>
      <w:rPr>
        <w:rStyle w:val="Seitenzahl"/>
        <w:rFonts w:cs="Arial"/>
        <w:sz w:val="18"/>
        <w:szCs w:val="18"/>
      </w:rPr>
      <w:fldChar w:fldCharType="end"/>
    </w:r>
    <w:r>
      <w:rPr>
        <w:rStyle w:val="Seitenzahl"/>
        <w:rFonts w:cs="Arial"/>
        <w:sz w:val="18"/>
        <w:szCs w:val="18"/>
      </w:rPr>
      <w:t xml:space="preserve"> von </w:t>
    </w:r>
    <w:r>
      <w:rPr>
        <w:rStyle w:val="Seitenzahl"/>
        <w:rFonts w:cs="Arial"/>
        <w:sz w:val="18"/>
        <w:szCs w:val="18"/>
      </w:rPr>
      <w:fldChar w:fldCharType="begin"/>
    </w:r>
    <w:r>
      <w:rPr>
        <w:rStyle w:val="Seitenzahl"/>
        <w:rFonts w:cs="Arial"/>
        <w:sz w:val="18"/>
        <w:szCs w:val="18"/>
      </w:rPr>
      <w:instrText xml:space="preserve"> NUMPAGES </w:instrText>
    </w:r>
    <w:r>
      <w:rPr>
        <w:rStyle w:val="Seitenzahl"/>
        <w:rFonts w:cs="Arial"/>
        <w:sz w:val="18"/>
        <w:szCs w:val="18"/>
      </w:rPr>
      <w:fldChar w:fldCharType="separate"/>
    </w:r>
    <w:r>
      <w:rPr>
        <w:rStyle w:val="Seitenzahl"/>
        <w:rFonts w:cs="Arial"/>
        <w:noProof/>
        <w:sz w:val="18"/>
        <w:szCs w:val="18"/>
      </w:rPr>
      <w:t>8</w:t>
    </w:r>
    <w:r>
      <w:rPr>
        <w:rStyle w:val="Seitenzahl"/>
        <w:rFonts w:cs="Arial"/>
        <w:sz w:val="18"/>
        <w:szCs w:val="18"/>
      </w:rPr>
      <w:fldChar w:fldCharType="end"/>
    </w:r>
  </w:p>
  <w:p>
    <w:pPr>
      <w:pStyle w:val="Fuzeile"/>
      <w:jc w:val="right"/>
      <w:rPr>
        <w:i/>
        <w:color w:val="7F7F7F" w:themeColor="text1" w:themeTint="80"/>
        <w:sz w:val="16"/>
        <w:szCs w:val="16"/>
      </w:rPr>
    </w:pPr>
    <w:r>
      <w:rPr>
        <w:rStyle w:val="Seitenzahl"/>
        <w:rFonts w:cs="Arial"/>
        <w:i/>
        <w:color w:val="7F7F7F" w:themeColor="text1" w:themeTint="80"/>
        <w:sz w:val="16"/>
        <w:szCs w:val="16"/>
      </w:rPr>
      <w:t>Stand: Januar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6704" o:spid="_x0000_s2050" type="#_x0000_t136" style="position:absolute;left:0;text-align:left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6705" o:spid="_x0000_s2051" type="#_x0000_t136" style="position:absolute;left:0;text-align:left;margin-left:0;margin-top:0;width:511.6pt;height:127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3379422</wp:posOffset>
          </wp:positionH>
          <wp:positionV relativeFrom="paragraph">
            <wp:posOffset>-217481</wp:posOffset>
          </wp:positionV>
          <wp:extent cx="2993390" cy="662940"/>
          <wp:effectExtent l="0" t="0" r="0" b="3810"/>
          <wp:wrapNone/>
          <wp:docPr id="677" name="Bild 6" descr="LANUV-Absenderkennung 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NUV-Absenderkennung 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5" t="3995" r="1125" b="9988"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Labor-Nr.: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6703" o:spid="_x0000_s2049" type="#_x0000_t136" style="position:absolute;left:0;text-align:left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K6wkiriNj3FWyJruwK21+1j8lJEbs/s1xv46n1AtFrkbNzlwsaHd6mHUHsaVkl/lPoh4sv/lsTdz3VcY/O37Q==" w:salt="NfzVDsKk6O0WCBOHNqZky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55D6722E-1836-4BE6-B4E6-FFFBCDA0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spacing w:before="60" w:after="60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Absatz">
    <w:name w:val="GesAbsatz"/>
    <w:basedOn w:val="Standard"/>
    <w:link w:val="GesAbsatzZchn"/>
    <w:qFormat/>
    <w:rPr>
      <w:color w:val="000000"/>
    </w:rPr>
  </w:style>
  <w:style w:type="character" w:customStyle="1" w:styleId="GesAbsatzZchn">
    <w:name w:val="GesAbsatz Zchn"/>
    <w:link w:val="GesAbsatz"/>
    <w:rPr>
      <w:rFonts w:ascii="Arial" w:hAnsi="Arial"/>
      <w:color w:val="00000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pPr>
      <w:tabs>
        <w:tab w:val="clear" w:pos="425"/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</w:rPr>
  </w:style>
  <w:style w:type="paragraph" w:styleId="Fuzeile">
    <w:name w:val="footer"/>
    <w:basedOn w:val="Standard"/>
    <w:link w:val="FuzeileZchn"/>
    <w:pPr>
      <w:tabs>
        <w:tab w:val="clear" w:pos="425"/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Pr>
      <w:rFonts w:ascii="Arial" w:hAnsi="Arial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link w:val="FunotentextZchn"/>
    <w:uiPriority w:val="99"/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hAnsi="Arial"/>
    </w:rPr>
  </w:style>
  <w:style w:type="character" w:styleId="Funotenzeichen">
    <w:name w:val="footnote reference"/>
    <w:uiPriority w:val="99"/>
    <w:rPr>
      <w:vertAlign w:val="superscript"/>
    </w:rPr>
  </w:style>
  <w:style w:type="paragraph" w:styleId="Sprechblasentext">
    <w:name w:val="Balloon Text"/>
    <w:basedOn w:val="Standard"/>
    <w:link w:val="SprechblasentextZchn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CA0F-5BA2-49C8-ABDA-50C89491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4502</Words>
  <Characters>28368</Characters>
  <Application>Microsoft Office Word</Application>
  <DocSecurity>0</DocSecurity>
  <Lines>236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32805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Lange1</dc:creator>
  <cp:lastModifiedBy>Lange, Christiane</cp:lastModifiedBy>
  <cp:revision>16</cp:revision>
  <cp:lastPrinted>2020-09-10T11:34:00Z</cp:lastPrinted>
  <dcterms:created xsi:type="dcterms:W3CDTF">2023-01-05T13:02:00Z</dcterms:created>
  <dcterms:modified xsi:type="dcterms:W3CDTF">2024-07-24T04:58:00Z</dcterms:modified>
</cp:coreProperties>
</file>